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24F" w:rsidRDefault="005C524F"/>
    <w:p w:rsidR="00B332B9" w:rsidRDefault="00F95490" w:rsidP="00B332B9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>Αλόννησος</w:t>
      </w:r>
      <w:r w:rsidR="00B332B9" w:rsidRPr="00B332B9">
        <w:rPr>
          <w:b/>
        </w:rPr>
        <w:t xml:space="preserve"> 4 μέρες 21-24.06.24 Οδικώς / Ακτοπλοϊκώς</w:t>
      </w:r>
    </w:p>
    <w:p w:rsidR="00B332B9" w:rsidRDefault="00B332B9" w:rsidP="00B332B9">
      <w:pPr>
        <w:rPr>
          <w:b/>
        </w:rPr>
      </w:pPr>
    </w:p>
    <w:p w:rsidR="00B332B9" w:rsidRDefault="00B332B9" w:rsidP="00B332B9">
      <w:pPr>
        <w:rPr>
          <w:b/>
        </w:rPr>
      </w:pPr>
      <w:r>
        <w:rPr>
          <w:b/>
        </w:rPr>
        <w:t>1</w:t>
      </w:r>
      <w:r w:rsidRPr="00B332B9">
        <w:rPr>
          <w:b/>
          <w:vertAlign w:val="superscript"/>
        </w:rPr>
        <w:t>η</w:t>
      </w:r>
      <w:r>
        <w:rPr>
          <w:b/>
        </w:rPr>
        <w:t xml:space="preserve"> Μέρα | Θεσσαλονίκη – </w:t>
      </w:r>
      <w:r w:rsidR="00F95490">
        <w:rPr>
          <w:b/>
        </w:rPr>
        <w:t>Βόλος</w:t>
      </w:r>
      <w:r>
        <w:rPr>
          <w:b/>
        </w:rPr>
        <w:t xml:space="preserve"> – </w:t>
      </w:r>
      <w:r w:rsidR="00F95490">
        <w:rPr>
          <w:b/>
        </w:rPr>
        <w:t>Αλόννησος</w:t>
      </w:r>
      <w:r>
        <w:rPr>
          <w:b/>
        </w:rPr>
        <w:t xml:space="preserve">. </w:t>
      </w:r>
    </w:p>
    <w:p w:rsidR="00B332B9" w:rsidRDefault="00B332B9" w:rsidP="00B332B9">
      <w:r w:rsidRPr="000D2D96">
        <w:t xml:space="preserve">Συγκέντρωση </w:t>
      </w:r>
      <w:r w:rsidR="0038737A" w:rsidRPr="000D2D96">
        <w:t xml:space="preserve">νωρίς το πρωί στα γραφεία μας </w:t>
      </w:r>
      <w:r w:rsidR="007154EA" w:rsidRPr="000D2D96">
        <w:t xml:space="preserve">και αναχώρηση για το λιμάνι </w:t>
      </w:r>
      <w:r w:rsidR="00F95490">
        <w:t>του Βόλου</w:t>
      </w:r>
      <w:r w:rsidR="000D2D96" w:rsidRPr="000D2D96">
        <w:t xml:space="preserve"> από όπου θα πάρετε το πλοίο για την </w:t>
      </w:r>
      <w:r w:rsidR="00F95490">
        <w:t>Αλόννησο</w:t>
      </w:r>
      <w:r w:rsidR="000D2D96" w:rsidRPr="000D2D96">
        <w:t>. Άφιξη και τακτοποίηση στο ξενοδοχείο σας. Ελεύθερος χρόνος</w:t>
      </w:r>
    </w:p>
    <w:p w:rsidR="000D2D96" w:rsidRDefault="000D2D96" w:rsidP="00B332B9">
      <w:pPr>
        <w:rPr>
          <w:b/>
        </w:rPr>
      </w:pPr>
      <w:r w:rsidRPr="000D2D96">
        <w:rPr>
          <w:b/>
        </w:rPr>
        <w:t>2η – 3</w:t>
      </w:r>
      <w:r w:rsidRPr="000D2D96">
        <w:rPr>
          <w:b/>
          <w:vertAlign w:val="superscript"/>
        </w:rPr>
        <w:t>η</w:t>
      </w:r>
      <w:r w:rsidRPr="000D2D96">
        <w:rPr>
          <w:b/>
        </w:rPr>
        <w:t xml:space="preserve"> Μέρα | </w:t>
      </w:r>
      <w:r w:rsidR="00F95490">
        <w:rPr>
          <w:b/>
        </w:rPr>
        <w:t>Αλόννησο</w:t>
      </w:r>
      <w:r w:rsidRPr="000D2D96">
        <w:rPr>
          <w:b/>
        </w:rPr>
        <w:t xml:space="preserve"> – Ελεύθερη μέρα.</w:t>
      </w:r>
    </w:p>
    <w:p w:rsidR="000D2D96" w:rsidRDefault="000D2D96" w:rsidP="00B332B9">
      <w:r w:rsidRPr="000D2D96">
        <w:t>Πρωινό και ελεύθερη μέρα στο νησί</w:t>
      </w:r>
    </w:p>
    <w:p w:rsidR="000D2D96" w:rsidRDefault="000D2D96" w:rsidP="00B332B9">
      <w:pPr>
        <w:rPr>
          <w:b/>
        </w:rPr>
      </w:pPr>
      <w:r w:rsidRPr="000D2D96">
        <w:rPr>
          <w:b/>
        </w:rPr>
        <w:t>4</w:t>
      </w:r>
      <w:r w:rsidRPr="000D2D96">
        <w:rPr>
          <w:b/>
          <w:vertAlign w:val="superscript"/>
        </w:rPr>
        <w:t>η</w:t>
      </w:r>
      <w:r w:rsidRPr="000D2D96">
        <w:rPr>
          <w:b/>
        </w:rPr>
        <w:t xml:space="preserve"> Μέρα | </w:t>
      </w:r>
      <w:r w:rsidR="00F95490">
        <w:rPr>
          <w:b/>
        </w:rPr>
        <w:t>Αλόννησο</w:t>
      </w:r>
      <w:r w:rsidRPr="000D2D96">
        <w:rPr>
          <w:b/>
        </w:rPr>
        <w:t xml:space="preserve"> – </w:t>
      </w:r>
      <w:r w:rsidR="009331F2">
        <w:rPr>
          <w:b/>
        </w:rPr>
        <w:t>Ραφήνα</w:t>
      </w:r>
      <w:r w:rsidRPr="000D2D96">
        <w:rPr>
          <w:b/>
        </w:rPr>
        <w:t xml:space="preserve"> – Θεσσαλονίκη.</w:t>
      </w:r>
    </w:p>
    <w:p w:rsidR="00F95490" w:rsidRDefault="000D2D96" w:rsidP="00F95490">
      <w:r w:rsidRPr="000D2D96">
        <w:t xml:space="preserve">Πρωινό και στη συνέχεια θα αναχωρήσουμε για το λιμάνι από όπου θα πάρετε το πλοίο για </w:t>
      </w:r>
      <w:r w:rsidR="00F95490">
        <w:t>τον Βόλο</w:t>
      </w:r>
      <w:r w:rsidRPr="000D2D96">
        <w:t>. Άφιξη, επιβίβαση στο λεωφορείο και επιστροφή με ενδιάμεσες στάσεις στην Θεσσαλονίκη.</w:t>
      </w:r>
    </w:p>
    <w:p w:rsidR="00620C6E" w:rsidRDefault="00F95490" w:rsidP="00F95490">
      <w: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9"/>
        <w:gridCol w:w="660"/>
        <w:gridCol w:w="1144"/>
        <w:gridCol w:w="958"/>
        <w:gridCol w:w="904"/>
        <w:gridCol w:w="1411"/>
        <w:gridCol w:w="1940"/>
      </w:tblGrid>
      <w:tr w:rsidR="00620C6E" w:rsidRPr="00620C6E" w:rsidTr="00620C6E">
        <w:trPr>
          <w:trHeight w:val="450"/>
        </w:trPr>
        <w:tc>
          <w:tcPr>
            <w:tcW w:w="5800" w:type="dxa"/>
            <w:gridSpan w:val="4"/>
            <w:shd w:val="clear" w:color="auto" w:fill="FFFF00"/>
            <w:hideMark/>
          </w:tcPr>
          <w:p w:rsidR="00620C6E" w:rsidRPr="00620C6E" w:rsidRDefault="00620C6E" w:rsidP="00620C6E">
            <w:pPr>
              <w:jc w:val="center"/>
              <w:rPr>
                <w:b/>
                <w:bCs/>
              </w:rPr>
            </w:pPr>
            <w:r w:rsidRPr="00620C6E">
              <w:rPr>
                <w:b/>
                <w:bCs/>
              </w:rPr>
              <w:t>Αλόννησος 4 μέρες</w:t>
            </w:r>
          </w:p>
        </w:tc>
        <w:tc>
          <w:tcPr>
            <w:tcW w:w="7280" w:type="dxa"/>
            <w:gridSpan w:val="3"/>
            <w:shd w:val="clear" w:color="auto" w:fill="FFFF00"/>
            <w:hideMark/>
          </w:tcPr>
          <w:p w:rsidR="00620C6E" w:rsidRPr="00620C6E" w:rsidRDefault="00620C6E" w:rsidP="00620C6E">
            <w:pPr>
              <w:jc w:val="center"/>
              <w:rPr>
                <w:b/>
                <w:bCs/>
              </w:rPr>
            </w:pPr>
            <w:r w:rsidRPr="00620C6E">
              <w:rPr>
                <w:b/>
                <w:bCs/>
              </w:rPr>
              <w:t>Αναχώρηση: 21/06/24- Πακέτο εκδρομής</w:t>
            </w:r>
          </w:p>
        </w:tc>
      </w:tr>
      <w:tr w:rsidR="00620C6E" w:rsidRPr="00620C6E" w:rsidTr="00620C6E">
        <w:trPr>
          <w:trHeight w:val="675"/>
        </w:trPr>
        <w:tc>
          <w:tcPr>
            <w:tcW w:w="1320" w:type="dxa"/>
            <w:hideMark/>
          </w:tcPr>
          <w:p w:rsidR="00620C6E" w:rsidRPr="00620C6E" w:rsidRDefault="00620C6E" w:rsidP="00620C6E">
            <w:pPr>
              <w:jc w:val="center"/>
              <w:rPr>
                <w:b/>
                <w:bCs/>
              </w:rPr>
            </w:pPr>
            <w:r w:rsidRPr="00620C6E">
              <w:rPr>
                <w:b/>
                <w:bCs/>
              </w:rPr>
              <w:t>Ξενοδοχεία</w:t>
            </w:r>
          </w:p>
        </w:tc>
        <w:tc>
          <w:tcPr>
            <w:tcW w:w="1320" w:type="dxa"/>
            <w:hideMark/>
          </w:tcPr>
          <w:p w:rsidR="00620C6E" w:rsidRPr="00620C6E" w:rsidRDefault="00620C6E" w:rsidP="00620C6E">
            <w:pPr>
              <w:jc w:val="center"/>
              <w:rPr>
                <w:b/>
                <w:bCs/>
              </w:rPr>
            </w:pPr>
            <w:proofErr w:type="spellStart"/>
            <w:r w:rsidRPr="00620C6E">
              <w:rPr>
                <w:b/>
                <w:bCs/>
              </w:rPr>
              <w:t>Κατ</w:t>
            </w:r>
            <w:proofErr w:type="spellEnd"/>
            <w:r w:rsidRPr="00620C6E">
              <w:rPr>
                <w:b/>
                <w:bCs/>
              </w:rPr>
              <w:t>.</w:t>
            </w:r>
          </w:p>
        </w:tc>
        <w:tc>
          <w:tcPr>
            <w:tcW w:w="1320" w:type="dxa"/>
            <w:hideMark/>
          </w:tcPr>
          <w:p w:rsidR="00620C6E" w:rsidRPr="00620C6E" w:rsidRDefault="00620C6E" w:rsidP="00620C6E">
            <w:pPr>
              <w:jc w:val="center"/>
              <w:rPr>
                <w:b/>
                <w:bCs/>
              </w:rPr>
            </w:pPr>
            <w:r w:rsidRPr="00620C6E">
              <w:rPr>
                <w:b/>
                <w:bCs/>
              </w:rPr>
              <w:t>Διατροφή</w:t>
            </w:r>
          </w:p>
        </w:tc>
        <w:tc>
          <w:tcPr>
            <w:tcW w:w="1840" w:type="dxa"/>
            <w:hideMark/>
          </w:tcPr>
          <w:p w:rsidR="00620C6E" w:rsidRPr="00620C6E" w:rsidRDefault="00620C6E" w:rsidP="00620C6E">
            <w:pPr>
              <w:jc w:val="center"/>
              <w:rPr>
                <w:b/>
                <w:bCs/>
              </w:rPr>
            </w:pPr>
            <w:r w:rsidRPr="00620C6E">
              <w:rPr>
                <w:b/>
                <w:bCs/>
              </w:rPr>
              <w:t>Τιμή σε δίκλινο</w:t>
            </w:r>
          </w:p>
        </w:tc>
        <w:tc>
          <w:tcPr>
            <w:tcW w:w="3320" w:type="dxa"/>
            <w:hideMark/>
          </w:tcPr>
          <w:p w:rsidR="00620C6E" w:rsidRPr="00620C6E" w:rsidRDefault="00620C6E" w:rsidP="00620C6E">
            <w:pPr>
              <w:jc w:val="center"/>
              <w:rPr>
                <w:b/>
                <w:bCs/>
              </w:rPr>
            </w:pPr>
            <w:r w:rsidRPr="00620C6E">
              <w:rPr>
                <w:b/>
                <w:bCs/>
              </w:rPr>
              <w:t>Παιδί  2-12 ετών</w:t>
            </w:r>
          </w:p>
        </w:tc>
        <w:tc>
          <w:tcPr>
            <w:tcW w:w="2020" w:type="dxa"/>
            <w:hideMark/>
          </w:tcPr>
          <w:p w:rsidR="00620C6E" w:rsidRPr="00620C6E" w:rsidRDefault="00620C6E" w:rsidP="00620C6E">
            <w:pPr>
              <w:jc w:val="center"/>
              <w:rPr>
                <w:b/>
                <w:bCs/>
              </w:rPr>
            </w:pPr>
            <w:proofErr w:type="spellStart"/>
            <w:r w:rsidRPr="00620C6E">
              <w:rPr>
                <w:b/>
                <w:bCs/>
              </w:rPr>
              <w:t>Επιβ</w:t>
            </w:r>
            <w:proofErr w:type="spellEnd"/>
            <w:r w:rsidRPr="00620C6E">
              <w:rPr>
                <w:b/>
                <w:bCs/>
              </w:rPr>
              <w:t>. Μονόκλινου</w:t>
            </w:r>
          </w:p>
        </w:tc>
        <w:tc>
          <w:tcPr>
            <w:tcW w:w="1940" w:type="dxa"/>
            <w:hideMark/>
          </w:tcPr>
          <w:p w:rsidR="00620C6E" w:rsidRPr="00620C6E" w:rsidRDefault="00620C6E" w:rsidP="00620C6E">
            <w:pPr>
              <w:jc w:val="center"/>
              <w:rPr>
                <w:b/>
                <w:bCs/>
              </w:rPr>
            </w:pPr>
            <w:r w:rsidRPr="00620C6E">
              <w:rPr>
                <w:b/>
                <w:bCs/>
              </w:rPr>
              <w:t>Γενικές Πληροφορίες</w:t>
            </w:r>
          </w:p>
        </w:tc>
      </w:tr>
      <w:tr w:rsidR="00620C6E" w:rsidRPr="00620C6E" w:rsidTr="00620C6E">
        <w:trPr>
          <w:trHeight w:val="540"/>
        </w:trPr>
        <w:tc>
          <w:tcPr>
            <w:tcW w:w="1320" w:type="dxa"/>
            <w:vMerge w:val="restart"/>
            <w:hideMark/>
          </w:tcPr>
          <w:p w:rsidR="00620C6E" w:rsidRDefault="00620C6E" w:rsidP="00620C6E">
            <w:pPr>
              <w:jc w:val="center"/>
            </w:pPr>
          </w:p>
          <w:p w:rsidR="00620C6E" w:rsidRDefault="00620C6E" w:rsidP="00620C6E">
            <w:pPr>
              <w:jc w:val="center"/>
            </w:pPr>
          </w:p>
          <w:p w:rsidR="00620C6E" w:rsidRDefault="00620C6E" w:rsidP="00620C6E">
            <w:pPr>
              <w:jc w:val="center"/>
            </w:pPr>
          </w:p>
          <w:p w:rsidR="00620C6E" w:rsidRPr="00620C6E" w:rsidRDefault="00620C6E" w:rsidP="00620C6E">
            <w:pPr>
              <w:jc w:val="center"/>
            </w:pPr>
            <w:proofErr w:type="spellStart"/>
            <w:r w:rsidRPr="00620C6E">
              <w:t>Ethra</w:t>
            </w:r>
            <w:proofErr w:type="spellEnd"/>
          </w:p>
        </w:tc>
        <w:tc>
          <w:tcPr>
            <w:tcW w:w="1320" w:type="dxa"/>
            <w:vMerge w:val="restart"/>
            <w:hideMark/>
          </w:tcPr>
          <w:p w:rsidR="00620C6E" w:rsidRDefault="00620C6E" w:rsidP="00620C6E">
            <w:pPr>
              <w:jc w:val="center"/>
            </w:pPr>
          </w:p>
          <w:p w:rsidR="00620C6E" w:rsidRDefault="00620C6E" w:rsidP="00620C6E">
            <w:pPr>
              <w:jc w:val="center"/>
            </w:pPr>
          </w:p>
          <w:p w:rsidR="00620C6E" w:rsidRDefault="00620C6E" w:rsidP="00620C6E">
            <w:pPr>
              <w:jc w:val="center"/>
            </w:pPr>
          </w:p>
          <w:p w:rsidR="00620C6E" w:rsidRPr="00620C6E" w:rsidRDefault="00620C6E" w:rsidP="00620C6E">
            <w:pPr>
              <w:jc w:val="center"/>
            </w:pPr>
            <w:r w:rsidRPr="00620C6E">
              <w:t>x</w:t>
            </w:r>
          </w:p>
        </w:tc>
        <w:tc>
          <w:tcPr>
            <w:tcW w:w="1320" w:type="dxa"/>
            <w:vMerge w:val="restart"/>
            <w:hideMark/>
          </w:tcPr>
          <w:p w:rsidR="00620C6E" w:rsidRDefault="00620C6E" w:rsidP="00620C6E">
            <w:pPr>
              <w:jc w:val="center"/>
            </w:pPr>
          </w:p>
          <w:p w:rsidR="00620C6E" w:rsidRDefault="00620C6E" w:rsidP="00620C6E">
            <w:pPr>
              <w:jc w:val="center"/>
            </w:pPr>
          </w:p>
          <w:p w:rsidR="00620C6E" w:rsidRDefault="00620C6E" w:rsidP="00620C6E">
            <w:pPr>
              <w:jc w:val="center"/>
            </w:pPr>
          </w:p>
          <w:p w:rsidR="00620C6E" w:rsidRPr="00620C6E" w:rsidRDefault="00620C6E" w:rsidP="00620C6E">
            <w:pPr>
              <w:jc w:val="center"/>
            </w:pPr>
            <w:r w:rsidRPr="00620C6E">
              <w:t>x</w:t>
            </w:r>
            <w:bookmarkStart w:id="0" w:name="_GoBack"/>
            <w:bookmarkEnd w:id="0"/>
          </w:p>
        </w:tc>
        <w:tc>
          <w:tcPr>
            <w:tcW w:w="1840" w:type="dxa"/>
            <w:vMerge w:val="restart"/>
            <w:hideMark/>
          </w:tcPr>
          <w:p w:rsidR="00620C6E" w:rsidRDefault="00620C6E" w:rsidP="00620C6E">
            <w:pPr>
              <w:jc w:val="center"/>
            </w:pPr>
          </w:p>
          <w:p w:rsidR="00620C6E" w:rsidRDefault="00620C6E" w:rsidP="00620C6E">
            <w:pPr>
              <w:jc w:val="center"/>
            </w:pPr>
          </w:p>
          <w:p w:rsidR="00620C6E" w:rsidRDefault="00620C6E" w:rsidP="00620C6E">
            <w:pPr>
              <w:jc w:val="center"/>
            </w:pPr>
          </w:p>
          <w:p w:rsidR="00620C6E" w:rsidRPr="00620C6E" w:rsidRDefault="00620C6E" w:rsidP="00620C6E">
            <w:pPr>
              <w:jc w:val="center"/>
            </w:pPr>
            <w:r w:rsidRPr="00620C6E">
              <w:t>239€</w:t>
            </w:r>
          </w:p>
        </w:tc>
        <w:tc>
          <w:tcPr>
            <w:tcW w:w="3320" w:type="dxa"/>
            <w:vMerge w:val="restart"/>
            <w:hideMark/>
          </w:tcPr>
          <w:p w:rsidR="00620C6E" w:rsidRDefault="00620C6E" w:rsidP="00620C6E">
            <w:pPr>
              <w:jc w:val="center"/>
            </w:pPr>
          </w:p>
          <w:p w:rsidR="00620C6E" w:rsidRDefault="00620C6E" w:rsidP="00620C6E">
            <w:pPr>
              <w:jc w:val="center"/>
            </w:pPr>
          </w:p>
          <w:p w:rsidR="00620C6E" w:rsidRDefault="00620C6E" w:rsidP="00620C6E">
            <w:pPr>
              <w:jc w:val="center"/>
            </w:pPr>
          </w:p>
          <w:p w:rsidR="00620C6E" w:rsidRPr="00620C6E" w:rsidRDefault="00620C6E" w:rsidP="00620C6E">
            <w:pPr>
              <w:jc w:val="center"/>
            </w:pPr>
            <w:r w:rsidRPr="00620C6E">
              <w:t>205€</w:t>
            </w:r>
          </w:p>
        </w:tc>
        <w:tc>
          <w:tcPr>
            <w:tcW w:w="2020" w:type="dxa"/>
            <w:vMerge w:val="restart"/>
            <w:hideMark/>
          </w:tcPr>
          <w:p w:rsidR="00620C6E" w:rsidRDefault="00620C6E" w:rsidP="00620C6E">
            <w:pPr>
              <w:jc w:val="center"/>
            </w:pPr>
          </w:p>
          <w:p w:rsidR="00620C6E" w:rsidRDefault="00620C6E" w:rsidP="00620C6E">
            <w:pPr>
              <w:jc w:val="center"/>
            </w:pPr>
          </w:p>
          <w:p w:rsidR="00620C6E" w:rsidRDefault="00620C6E" w:rsidP="00620C6E">
            <w:pPr>
              <w:jc w:val="center"/>
            </w:pPr>
          </w:p>
          <w:p w:rsidR="00620C6E" w:rsidRPr="00620C6E" w:rsidRDefault="00620C6E" w:rsidP="00620C6E">
            <w:pPr>
              <w:jc w:val="center"/>
            </w:pPr>
            <w:r w:rsidRPr="00620C6E">
              <w:t>69€</w:t>
            </w:r>
          </w:p>
        </w:tc>
        <w:tc>
          <w:tcPr>
            <w:tcW w:w="1940" w:type="dxa"/>
            <w:vMerge w:val="restart"/>
            <w:noWrap/>
            <w:hideMark/>
          </w:tcPr>
          <w:p w:rsidR="00620C6E" w:rsidRPr="00620C6E" w:rsidRDefault="00620C6E">
            <w:r w:rsidRPr="00620C6E">
              <w:t> </w:t>
            </w:r>
          </w:p>
        </w:tc>
      </w:tr>
      <w:tr w:rsidR="00620C6E" w:rsidRPr="00620C6E" w:rsidTr="00620C6E">
        <w:trPr>
          <w:trHeight w:val="570"/>
        </w:trPr>
        <w:tc>
          <w:tcPr>
            <w:tcW w:w="1320" w:type="dxa"/>
            <w:vMerge/>
            <w:hideMark/>
          </w:tcPr>
          <w:p w:rsidR="00620C6E" w:rsidRPr="00620C6E" w:rsidRDefault="00620C6E"/>
        </w:tc>
        <w:tc>
          <w:tcPr>
            <w:tcW w:w="1320" w:type="dxa"/>
            <w:vMerge/>
            <w:hideMark/>
          </w:tcPr>
          <w:p w:rsidR="00620C6E" w:rsidRPr="00620C6E" w:rsidRDefault="00620C6E"/>
        </w:tc>
        <w:tc>
          <w:tcPr>
            <w:tcW w:w="1320" w:type="dxa"/>
            <w:vMerge/>
            <w:hideMark/>
          </w:tcPr>
          <w:p w:rsidR="00620C6E" w:rsidRPr="00620C6E" w:rsidRDefault="00620C6E"/>
        </w:tc>
        <w:tc>
          <w:tcPr>
            <w:tcW w:w="1840" w:type="dxa"/>
            <w:vMerge/>
            <w:hideMark/>
          </w:tcPr>
          <w:p w:rsidR="00620C6E" w:rsidRPr="00620C6E" w:rsidRDefault="00620C6E"/>
        </w:tc>
        <w:tc>
          <w:tcPr>
            <w:tcW w:w="3320" w:type="dxa"/>
            <w:vMerge/>
            <w:hideMark/>
          </w:tcPr>
          <w:p w:rsidR="00620C6E" w:rsidRPr="00620C6E" w:rsidRDefault="00620C6E"/>
        </w:tc>
        <w:tc>
          <w:tcPr>
            <w:tcW w:w="2020" w:type="dxa"/>
            <w:vMerge/>
            <w:hideMark/>
          </w:tcPr>
          <w:p w:rsidR="00620C6E" w:rsidRPr="00620C6E" w:rsidRDefault="00620C6E"/>
        </w:tc>
        <w:tc>
          <w:tcPr>
            <w:tcW w:w="1940" w:type="dxa"/>
            <w:vMerge/>
            <w:hideMark/>
          </w:tcPr>
          <w:p w:rsidR="00620C6E" w:rsidRPr="00620C6E" w:rsidRDefault="00620C6E"/>
        </w:tc>
      </w:tr>
      <w:tr w:rsidR="00620C6E" w:rsidRPr="00620C6E" w:rsidTr="00620C6E">
        <w:trPr>
          <w:trHeight w:val="450"/>
        </w:trPr>
        <w:tc>
          <w:tcPr>
            <w:tcW w:w="1320" w:type="dxa"/>
            <w:vMerge/>
            <w:hideMark/>
          </w:tcPr>
          <w:p w:rsidR="00620C6E" w:rsidRPr="00620C6E" w:rsidRDefault="00620C6E"/>
        </w:tc>
        <w:tc>
          <w:tcPr>
            <w:tcW w:w="1320" w:type="dxa"/>
            <w:vMerge/>
            <w:hideMark/>
          </w:tcPr>
          <w:p w:rsidR="00620C6E" w:rsidRPr="00620C6E" w:rsidRDefault="00620C6E"/>
        </w:tc>
        <w:tc>
          <w:tcPr>
            <w:tcW w:w="1320" w:type="dxa"/>
            <w:vMerge/>
            <w:hideMark/>
          </w:tcPr>
          <w:p w:rsidR="00620C6E" w:rsidRPr="00620C6E" w:rsidRDefault="00620C6E"/>
        </w:tc>
        <w:tc>
          <w:tcPr>
            <w:tcW w:w="1840" w:type="dxa"/>
            <w:vMerge/>
            <w:hideMark/>
          </w:tcPr>
          <w:p w:rsidR="00620C6E" w:rsidRPr="00620C6E" w:rsidRDefault="00620C6E"/>
        </w:tc>
        <w:tc>
          <w:tcPr>
            <w:tcW w:w="3320" w:type="dxa"/>
            <w:vMerge/>
            <w:hideMark/>
          </w:tcPr>
          <w:p w:rsidR="00620C6E" w:rsidRPr="00620C6E" w:rsidRDefault="00620C6E"/>
        </w:tc>
        <w:tc>
          <w:tcPr>
            <w:tcW w:w="2020" w:type="dxa"/>
            <w:vMerge/>
            <w:hideMark/>
          </w:tcPr>
          <w:p w:rsidR="00620C6E" w:rsidRPr="00620C6E" w:rsidRDefault="00620C6E"/>
        </w:tc>
        <w:tc>
          <w:tcPr>
            <w:tcW w:w="1940" w:type="dxa"/>
            <w:vMerge/>
            <w:hideMark/>
          </w:tcPr>
          <w:p w:rsidR="00620C6E" w:rsidRPr="00620C6E" w:rsidRDefault="00620C6E"/>
        </w:tc>
      </w:tr>
      <w:tr w:rsidR="00620C6E" w:rsidRPr="00620C6E" w:rsidTr="00620C6E">
        <w:trPr>
          <w:trHeight w:val="450"/>
        </w:trPr>
        <w:tc>
          <w:tcPr>
            <w:tcW w:w="1320" w:type="dxa"/>
            <w:vMerge/>
            <w:hideMark/>
          </w:tcPr>
          <w:p w:rsidR="00620C6E" w:rsidRPr="00620C6E" w:rsidRDefault="00620C6E"/>
        </w:tc>
        <w:tc>
          <w:tcPr>
            <w:tcW w:w="1320" w:type="dxa"/>
            <w:vMerge/>
            <w:hideMark/>
          </w:tcPr>
          <w:p w:rsidR="00620C6E" w:rsidRPr="00620C6E" w:rsidRDefault="00620C6E"/>
        </w:tc>
        <w:tc>
          <w:tcPr>
            <w:tcW w:w="1320" w:type="dxa"/>
            <w:vMerge/>
            <w:hideMark/>
          </w:tcPr>
          <w:p w:rsidR="00620C6E" w:rsidRPr="00620C6E" w:rsidRDefault="00620C6E"/>
        </w:tc>
        <w:tc>
          <w:tcPr>
            <w:tcW w:w="1840" w:type="dxa"/>
            <w:vMerge/>
            <w:hideMark/>
          </w:tcPr>
          <w:p w:rsidR="00620C6E" w:rsidRPr="00620C6E" w:rsidRDefault="00620C6E"/>
        </w:tc>
        <w:tc>
          <w:tcPr>
            <w:tcW w:w="3320" w:type="dxa"/>
            <w:vMerge/>
            <w:hideMark/>
          </w:tcPr>
          <w:p w:rsidR="00620C6E" w:rsidRPr="00620C6E" w:rsidRDefault="00620C6E"/>
        </w:tc>
        <w:tc>
          <w:tcPr>
            <w:tcW w:w="2020" w:type="dxa"/>
            <w:vMerge/>
            <w:hideMark/>
          </w:tcPr>
          <w:p w:rsidR="00620C6E" w:rsidRPr="00620C6E" w:rsidRDefault="00620C6E"/>
        </w:tc>
        <w:tc>
          <w:tcPr>
            <w:tcW w:w="1940" w:type="dxa"/>
            <w:vMerge/>
            <w:hideMark/>
          </w:tcPr>
          <w:p w:rsidR="00620C6E" w:rsidRPr="00620C6E" w:rsidRDefault="00620C6E"/>
        </w:tc>
      </w:tr>
      <w:tr w:rsidR="00620C6E" w:rsidRPr="00620C6E" w:rsidTr="00620C6E">
        <w:trPr>
          <w:trHeight w:val="450"/>
        </w:trPr>
        <w:tc>
          <w:tcPr>
            <w:tcW w:w="1320" w:type="dxa"/>
            <w:vMerge/>
            <w:hideMark/>
          </w:tcPr>
          <w:p w:rsidR="00620C6E" w:rsidRPr="00620C6E" w:rsidRDefault="00620C6E"/>
        </w:tc>
        <w:tc>
          <w:tcPr>
            <w:tcW w:w="1320" w:type="dxa"/>
            <w:vMerge/>
            <w:hideMark/>
          </w:tcPr>
          <w:p w:rsidR="00620C6E" w:rsidRPr="00620C6E" w:rsidRDefault="00620C6E"/>
        </w:tc>
        <w:tc>
          <w:tcPr>
            <w:tcW w:w="1320" w:type="dxa"/>
            <w:vMerge/>
            <w:hideMark/>
          </w:tcPr>
          <w:p w:rsidR="00620C6E" w:rsidRPr="00620C6E" w:rsidRDefault="00620C6E"/>
        </w:tc>
        <w:tc>
          <w:tcPr>
            <w:tcW w:w="1840" w:type="dxa"/>
            <w:vMerge/>
            <w:hideMark/>
          </w:tcPr>
          <w:p w:rsidR="00620C6E" w:rsidRPr="00620C6E" w:rsidRDefault="00620C6E"/>
        </w:tc>
        <w:tc>
          <w:tcPr>
            <w:tcW w:w="3320" w:type="dxa"/>
            <w:vMerge/>
            <w:hideMark/>
          </w:tcPr>
          <w:p w:rsidR="00620C6E" w:rsidRPr="00620C6E" w:rsidRDefault="00620C6E"/>
        </w:tc>
        <w:tc>
          <w:tcPr>
            <w:tcW w:w="2020" w:type="dxa"/>
            <w:vMerge/>
            <w:hideMark/>
          </w:tcPr>
          <w:p w:rsidR="00620C6E" w:rsidRPr="00620C6E" w:rsidRDefault="00620C6E"/>
        </w:tc>
        <w:tc>
          <w:tcPr>
            <w:tcW w:w="1940" w:type="dxa"/>
            <w:vMerge/>
            <w:hideMark/>
          </w:tcPr>
          <w:p w:rsidR="00620C6E" w:rsidRPr="00620C6E" w:rsidRDefault="00620C6E"/>
        </w:tc>
      </w:tr>
      <w:tr w:rsidR="00620C6E" w:rsidRPr="00620C6E" w:rsidTr="00620C6E">
        <w:trPr>
          <w:trHeight w:val="450"/>
        </w:trPr>
        <w:tc>
          <w:tcPr>
            <w:tcW w:w="1320" w:type="dxa"/>
            <w:vMerge/>
            <w:hideMark/>
          </w:tcPr>
          <w:p w:rsidR="00620C6E" w:rsidRPr="00620C6E" w:rsidRDefault="00620C6E"/>
        </w:tc>
        <w:tc>
          <w:tcPr>
            <w:tcW w:w="1320" w:type="dxa"/>
            <w:vMerge/>
            <w:hideMark/>
          </w:tcPr>
          <w:p w:rsidR="00620C6E" w:rsidRPr="00620C6E" w:rsidRDefault="00620C6E"/>
        </w:tc>
        <w:tc>
          <w:tcPr>
            <w:tcW w:w="1320" w:type="dxa"/>
            <w:vMerge/>
            <w:hideMark/>
          </w:tcPr>
          <w:p w:rsidR="00620C6E" w:rsidRPr="00620C6E" w:rsidRDefault="00620C6E"/>
        </w:tc>
        <w:tc>
          <w:tcPr>
            <w:tcW w:w="1840" w:type="dxa"/>
            <w:vMerge/>
            <w:hideMark/>
          </w:tcPr>
          <w:p w:rsidR="00620C6E" w:rsidRPr="00620C6E" w:rsidRDefault="00620C6E"/>
        </w:tc>
        <w:tc>
          <w:tcPr>
            <w:tcW w:w="3320" w:type="dxa"/>
            <w:vMerge/>
            <w:hideMark/>
          </w:tcPr>
          <w:p w:rsidR="00620C6E" w:rsidRPr="00620C6E" w:rsidRDefault="00620C6E"/>
        </w:tc>
        <w:tc>
          <w:tcPr>
            <w:tcW w:w="2020" w:type="dxa"/>
            <w:vMerge/>
            <w:hideMark/>
          </w:tcPr>
          <w:p w:rsidR="00620C6E" w:rsidRPr="00620C6E" w:rsidRDefault="00620C6E"/>
        </w:tc>
        <w:tc>
          <w:tcPr>
            <w:tcW w:w="1940" w:type="dxa"/>
            <w:vMerge/>
            <w:hideMark/>
          </w:tcPr>
          <w:p w:rsidR="00620C6E" w:rsidRPr="00620C6E" w:rsidRDefault="00620C6E"/>
        </w:tc>
      </w:tr>
      <w:tr w:rsidR="00620C6E" w:rsidRPr="00620C6E" w:rsidTr="00620C6E">
        <w:trPr>
          <w:trHeight w:val="269"/>
        </w:trPr>
        <w:tc>
          <w:tcPr>
            <w:tcW w:w="13080" w:type="dxa"/>
            <w:gridSpan w:val="7"/>
            <w:vMerge w:val="restart"/>
            <w:hideMark/>
          </w:tcPr>
          <w:p w:rsidR="00620C6E" w:rsidRPr="00620C6E" w:rsidRDefault="00620C6E">
            <w:pPr>
              <w:rPr>
                <w:b/>
                <w:bCs/>
              </w:rPr>
            </w:pPr>
            <w:r w:rsidRPr="00620C6E">
              <w:rPr>
                <w:b/>
                <w:bCs/>
              </w:rPr>
              <w:t xml:space="preserve">Στη τιμή περιλαμβάνονται: </w:t>
            </w:r>
            <w:r w:rsidRPr="00620C6E">
              <w:rPr>
                <w:bCs/>
              </w:rPr>
              <w:t xml:space="preserve">Τρείς (3) διανυκτερεύσεις. Ακτοπλοϊκά εισιτήρια. Ασφάλεια αστικής ευθύνης. </w:t>
            </w:r>
            <w:r w:rsidRPr="00620C6E">
              <w:rPr>
                <w:bCs/>
              </w:rPr>
              <w:br/>
            </w:r>
            <w:r w:rsidRPr="00620C6E">
              <w:rPr>
                <w:b/>
                <w:bCs/>
              </w:rPr>
              <w:t xml:space="preserve">Δεν περιλαμβάνονται: </w:t>
            </w:r>
            <w:r w:rsidRPr="00620C6E">
              <w:t xml:space="preserve">Τέλος Ανθεκτικότητας Κλιματικής Κρίσης: 1,5€ ανά δωμάτιο, ανά διανυκτέρευση. Είσοδοι σε μουσεία, εκδηλώσεις και διασκεδάσεις, ότι αναφέρεται ως προαιρετικό ή προτεινόμενο, ειδική ασφάλεια </w:t>
            </w:r>
            <w:proofErr w:type="spellStart"/>
            <w:r w:rsidRPr="00620C6E">
              <w:t>Covid</w:t>
            </w:r>
            <w:proofErr w:type="spellEnd"/>
            <w:r w:rsidRPr="00620C6E">
              <w:t xml:space="preserve"> - 19: τιμή 15€. Ζητήστε περισσότερες πληροφορίες.</w:t>
            </w:r>
          </w:p>
        </w:tc>
      </w:tr>
      <w:tr w:rsidR="00620C6E" w:rsidRPr="00620C6E" w:rsidTr="00620C6E">
        <w:trPr>
          <w:trHeight w:val="1605"/>
        </w:trPr>
        <w:tc>
          <w:tcPr>
            <w:tcW w:w="13080" w:type="dxa"/>
            <w:gridSpan w:val="7"/>
            <w:vMerge/>
            <w:hideMark/>
          </w:tcPr>
          <w:p w:rsidR="00620C6E" w:rsidRPr="00620C6E" w:rsidRDefault="00620C6E">
            <w:pPr>
              <w:rPr>
                <w:b/>
                <w:bCs/>
              </w:rPr>
            </w:pPr>
          </w:p>
        </w:tc>
      </w:tr>
    </w:tbl>
    <w:p w:rsidR="007860D8" w:rsidRDefault="007860D8" w:rsidP="00F95490"/>
    <w:sectPr w:rsidR="007860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64A83"/>
    <w:multiLevelType w:val="hybridMultilevel"/>
    <w:tmpl w:val="9612CF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B9"/>
    <w:rsid w:val="000D2D96"/>
    <w:rsid w:val="0038737A"/>
    <w:rsid w:val="005C524F"/>
    <w:rsid w:val="00620C6E"/>
    <w:rsid w:val="007154EA"/>
    <w:rsid w:val="007860D8"/>
    <w:rsid w:val="009331F2"/>
    <w:rsid w:val="00B332B9"/>
    <w:rsid w:val="00EF3372"/>
    <w:rsid w:val="00F9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5A837"/>
  <w15:chartTrackingRefBased/>
  <w15:docId w15:val="{CB18060E-8D28-4140-8449-0630D13D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2B9"/>
    <w:pPr>
      <w:ind w:left="720"/>
      <w:contextualSpacing/>
    </w:pPr>
  </w:style>
  <w:style w:type="table" w:styleId="a4">
    <w:name w:val="Table Grid"/>
    <w:basedOn w:val="a1"/>
    <w:uiPriority w:val="39"/>
    <w:rsid w:val="000D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3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2024-05-17T07:41:00Z</dcterms:created>
  <dcterms:modified xsi:type="dcterms:W3CDTF">2024-05-17T11:05:00Z</dcterms:modified>
</cp:coreProperties>
</file>